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346" w:rsidRDefault="00AE6346" w:rsidP="00E41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pStyle w:val="ConsPlusTitle"/>
        <w:jc w:val="center"/>
        <w:rPr>
          <w:sz w:val="20"/>
          <w:szCs w:val="20"/>
        </w:rPr>
      </w:pPr>
      <w:bookmarkStart w:id="0" w:name="Par29"/>
      <w:bookmarkEnd w:id="0"/>
      <w:r>
        <w:rPr>
          <w:sz w:val="20"/>
          <w:szCs w:val="20"/>
        </w:rPr>
        <w:t>ПОРЯДОК</w:t>
      </w:r>
    </w:p>
    <w:p w:rsidR="00AE6346" w:rsidRDefault="00AE63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</w:t>
      </w:r>
    </w:p>
    <w:p w:rsidR="00AE6346" w:rsidRDefault="00AE6346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"ДЕТСКАЯ ЭНДОКРИНОЛОГИЯ"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"детская эндокринология" (далее - дети) в медицинских организациях.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специализированной, медицинской помощи;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включает в себя мероприятия по профилактике заболеваний эндокринной системы у детей, диагностике, лечению заболеваний и состояний, медицинской реабилитации, формированию здорового образа жизни, санитарно-гигиеническому просвещению детей.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включает: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 - детским эндокринологом.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заболеваний эндокринной системы врачи-педиатры участковые, врачи общей практики (семейные врачи) направляют детей на консультацию к врачу - детскому эндокринологу.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</w:t>
      </w:r>
      <w:proofErr w:type="gramEnd"/>
      <w:r>
        <w:rPr>
          <w:rFonts w:ascii="Calibri" w:hAnsi="Calibri" w:cs="Calibri"/>
        </w:rPr>
        <w:t xml:space="preserve">., </w:t>
      </w:r>
      <w:proofErr w:type="gramStart"/>
      <w:r>
        <w:rPr>
          <w:rFonts w:ascii="Calibri" w:hAnsi="Calibri" w:cs="Calibri"/>
        </w:rPr>
        <w:t>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14 марта 2012 г., </w:t>
      </w:r>
      <w:r>
        <w:rPr>
          <w:rFonts w:ascii="Calibri" w:hAnsi="Calibri" w:cs="Calibri"/>
        </w:rPr>
        <w:lastRenderedPageBreak/>
        <w:t>регистрационный N 23472).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Скорая, в том числе скорая специализированная, медицинская помощь оказывается в экстренной или неотложной форме вне медицинской организации, а также в амбулаторных и стационарных условиях.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наличии медицинских показаний после устранения угрожающих жизни состояний дети переводятся в детское эндокринологическое отделение (койки) медицинской организации для оказания медицинской помощи.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Специализированная, в том числе высокотехнологичная, медицинская помощь детям в стационарных условиях и условиях дневного стационара оказывается врачами - детскими эндокринологами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</w:t>
      </w:r>
      <w:proofErr w:type="spellStart"/>
      <w:r>
        <w:rPr>
          <w:rFonts w:ascii="Calibri" w:hAnsi="Calibri" w:cs="Calibri"/>
        </w:rPr>
        <w:t>нетипичностью</w:t>
      </w:r>
      <w:proofErr w:type="spellEnd"/>
      <w:r>
        <w:rPr>
          <w:rFonts w:ascii="Calibri" w:hAnsi="Calibri" w:cs="Calibri"/>
        </w:rPr>
        <w:t xml:space="preserve"> течения заболевания, отсутствии эффекта от проводимой терапии и (или) повторных курсов лечения при вероятной эффективности других методов лечения, в связи с осложненным течением основного заболевания или наличием сопутствующих заболеваний, необходимости </w:t>
      </w:r>
      <w:proofErr w:type="spellStart"/>
      <w:r>
        <w:rPr>
          <w:rFonts w:ascii="Calibri" w:hAnsi="Calibri" w:cs="Calibri"/>
        </w:rPr>
        <w:t>дообследования</w:t>
      </w:r>
      <w:proofErr w:type="spellEnd"/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диагностически</w:t>
      </w:r>
      <w:proofErr w:type="spellEnd"/>
      <w:r>
        <w:rPr>
          <w:rFonts w:ascii="Calibri" w:hAnsi="Calibri" w:cs="Calibri"/>
        </w:rPr>
        <w:t xml:space="preserve"> сложных случаях, при необходимости повторной госпитализации по рекомендации указанных федеральных государственных медицинских организаций в соответствии с Порядком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 в </w:t>
      </w:r>
      <w:hyperlink r:id="rId6" w:history="1">
        <w:r>
          <w:rPr>
            <w:rFonts w:ascii="Calibri" w:hAnsi="Calibri" w:cs="Calibri"/>
            <w:color w:val="0000FF"/>
          </w:rPr>
          <w:t>приложении</w:t>
        </w:r>
      </w:hyperlink>
      <w:r>
        <w:rPr>
          <w:rFonts w:ascii="Calibri" w:hAnsi="Calibri" w:cs="Calibri"/>
        </w:rPr>
        <w:t xml:space="preserve">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Федерации от 16 апреля 2010 г. N 243н (зарегистрирован Министерством юстиции Российской Федерации 12 мая 2010 г., регистрационный N 17175), а также при наличии у детей медицинских показаний к лечению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 исполнительной власти субъектов Российской Федерации в сфере здравоохранения к месту лечения при наличии медицинских</w:t>
      </w:r>
      <w:proofErr w:type="gramEnd"/>
      <w:r>
        <w:rPr>
          <w:rFonts w:ascii="Calibri" w:hAnsi="Calibri" w:cs="Calibri"/>
        </w:rPr>
        <w:t xml:space="preserve"> показаний, утвержденным приказом 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г., регистрационный N 7115).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 xml:space="preserve">При наличии у детей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Российской Федерации от 28 декабря 2011 года N 1689н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8 февраля 2012 г., регистрационный N 23164).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 xml:space="preserve">При наличии медицинских показаний лечение детей проводится с привлечением врачей-специалистов по специальностям, предусмотренным </w:t>
      </w:r>
      <w:hyperlink r:id="rId9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</w:t>
      </w:r>
      <w:r>
        <w:rPr>
          <w:rFonts w:ascii="Calibri" w:hAnsi="Calibri" w:cs="Calibri"/>
        </w:rPr>
        <w:lastRenderedPageBreak/>
        <w:t>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</w:t>
      </w:r>
      <w:proofErr w:type="gramEnd"/>
      <w:r>
        <w:rPr>
          <w:rFonts w:ascii="Calibri" w:hAnsi="Calibri" w:cs="Calibri"/>
        </w:rPr>
        <w:t xml:space="preserve">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Плановая эндокринологическая медицинская помощь детям оказывается при проведении профилактических мероприятий, при заболеваниях и состояниях, не сопровождающихся угрозой жизни детям, не требующих экстренной и неотложной помощи, отсрочка оказания которой на определенное время не повлечет за собой ухудшение состояния детей, угрозу их жизни и здоровью.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Медицинские организации, оказывающие помощь детям при заболеваниях эндокринной системы, осуществляют свою деятельность в соответствии с </w:t>
      </w:r>
      <w:hyperlink w:anchor="Par78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646" w:history="1">
        <w:r>
          <w:rPr>
            <w:rFonts w:ascii="Calibri" w:hAnsi="Calibri" w:cs="Calibri"/>
            <w:color w:val="0000FF"/>
          </w:rPr>
          <w:t>9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Для обучения детей, страдающих сахарным диабетом, и их родителей (законных представителей) навыкам здорового образа жизни, правильного питания, технике инъекционного введения лекарственных препаратов и проведения самоконтроля уровня глюкозы в крови предусматривается организация кабинета - школы диабета.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случае если проведение медицинских манипуляций, связанных с оказанием помощи детям при заболеваниях эндокринной системы, может повлечь возникновение болевых ощущений у детей, такие манипуляции проводятся с обезболиванием.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" w:name="Par78"/>
      <w:bookmarkEnd w:id="1"/>
      <w:r>
        <w:rPr>
          <w:rFonts w:ascii="Calibri" w:hAnsi="Calibri" w:cs="Calibri"/>
        </w:rPr>
        <w:t>ПРАВИЛА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 -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ЭНДОКРИНОЛОГА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 - детского эндокринолога, который является структурным подразделением медицинской организации.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врача - детского эндокринолога (далее - Кабинет) создается для осуществления консультативной, диагностической и лечебной помощи детям по профилю "детская эндокринология" (далее - дети).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 - детского эндокринолога Кабинета назначается специалист, соответствующий требованиям, предъявляемым Квалификационными </w:t>
      </w:r>
      <w:hyperlink r:id="rId10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 с изменениями, внесенными приказом Министерства здравоохранения</w:t>
      </w:r>
      <w:proofErr w:type="gramEnd"/>
      <w:r>
        <w:rPr>
          <w:rFonts w:ascii="Calibri" w:hAnsi="Calibri" w:cs="Calibri"/>
        </w:rPr>
        <w:t xml:space="preserve"> и социального развития Российской Федерации от 26 декабря 2011 г. N 1644н (зарегистрирован Министерством юстиции </w:t>
      </w:r>
      <w:r>
        <w:rPr>
          <w:rFonts w:ascii="Calibri" w:hAnsi="Calibri" w:cs="Calibri"/>
        </w:rPr>
        <w:lastRenderedPageBreak/>
        <w:t>Российской Федерации 18 апреля 2012 г., регистрационный N 23879), по специальности "детская эндокринология".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2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43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-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1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среди детей и их родителей (законных представителей) по вопросам профилактики заболеваний эндокринной системы у детей и формированию здорового образа жизни;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Кабинета рекомендуется предусматривать: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выполнения диагностических исследований, входящих в функции Кабинета.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112"/>
      <w:bookmarkEnd w:id="2"/>
      <w:r>
        <w:rPr>
          <w:rFonts w:ascii="Calibri" w:hAnsi="Calibri" w:cs="Calibri"/>
        </w:rPr>
        <w:t>РЕКОМЕНДУЕМЫЕ ШТАТНЫЕ НОРМАТИВЫ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 - ДЕТСКОГО ЭНДОКРИНОЛОГА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AE634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Количество штатных единиц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 - детский эндокринолог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12 000 детей       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 штатную единицу врача -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детского эндокринолога  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3.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3 кабинета                  </w:t>
            </w:r>
          </w:p>
        </w:tc>
      </w:tr>
    </w:tbl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 - детского эндокринолога не распространяются на медицинские организации частной системы здравоохранения.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кабинета врача - детского эндокринолога устанавливается исходя из меньшей численности детей.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2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 - детского эндокринолога устанавливается вне зависимости от численности прикрепленного детского населения.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43"/>
      <w:bookmarkEnd w:id="3"/>
      <w:r>
        <w:rPr>
          <w:rFonts w:ascii="Calibri" w:hAnsi="Calibri" w:cs="Calibri"/>
        </w:rPr>
        <w:t>СТАНДАРТ ОСНАЩЕНИЯ КАБИНЕТА ВРАЧА - ДЕТСКОГО ЭНДОКРИНОЛОГА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AE634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штук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рабочее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Ростомер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Настольная лампа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Сантиметровая лента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Ширма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медицинских документов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электронные для детей до 1 года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Тонометр для измерения артериального давления  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Персональный компьютер с принтером,   выходом   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Интернет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двухсекционный для одежды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rHeight w:val="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Неврологический   набор     для       диагностики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диабетической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нейропатии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монофиламент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10 г,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градуированный      камертон,     неврологический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молоточек)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21.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глюкометру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расчета 15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1 рабочий день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Орхидометр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для определения кетонов   крови 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кетоновых тел в моче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 расчета 2 на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1 рабочий день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Калипер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для дезинфекции     инструментария   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</w:tbl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ЭНДОКРИНОЛОГИЧЕСКОГО ОТДЕЛЕНИЯ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эндокринологического отделения в организациях, оказывающих медицинскую помощь детям по профилю "детская эндокринология" (далее соответственно - дети, медицинская организация).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эндокринологическое отделение (далее - Отделение) создается в виде структурное подразделение медицинской организации.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должности заведующего Отделением и врача - детского эндокринолога Отделения назначаются специалисты, соответствующие требованиям, предъявляемым Квалификационными </w:t>
      </w:r>
      <w:hyperlink r:id="rId13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эндокринология".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278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Отделения осуществляется в соответствии со стандартом оснащения Отделения, предусмотренным </w:t>
      </w:r>
      <w:hyperlink w:anchor="Par356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палату (блок) реанимации и интенсивной терапии;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стационар, включающий помещение для приема детей, палаты для размещения детей, помещение для медицинских работников, санитарную комнату, туалет для медицинских работников, туалет для детей и их родителей, комнату для отдыха родителей.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комнату для медицинских работников со средним медицинским образованием;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 в стационарных условиях и условиях дневного стационара;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к проведению и проведение диагностических процедур, осуществление которых выполняется в стационарных условиях;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медицинская реабилитация детей в стационарных условиях;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методической и консультативной помощи врачам медицинской организации по вопросам профилактики, диагностики и лечения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медицинскую практику новых эффективных методов профилактики, диагностики, лечения и реабилитации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профилактических мероприятий, направленных на предупреждение осложнений, а также лечение осложнений, возникших в процессе лечения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детей;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Отделения в установленном порядке.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278"/>
      <w:bookmarkEnd w:id="4"/>
      <w:r>
        <w:rPr>
          <w:rFonts w:ascii="Calibri" w:hAnsi="Calibri" w:cs="Calibri"/>
        </w:rPr>
        <w:t>РЕКОМЕНДУЕМЫЕ ШТАТНЫЕ НОРМАТИВЫ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ЭНДОКРИНОЛОГИЧЕСКОГО ОТДЕЛЕНИЯ (НА 30 КОЕК) &lt;*&gt;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--------------------------------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кабинета-школы для больных сахарным диабетом не распространяются на медицинские организации частной системы здравоохранения.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560"/>
        <w:gridCol w:w="3960"/>
      </w:tblGrid>
      <w:tr w:rsidR="00AE6346">
        <w:trPr>
          <w:trHeight w:val="40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должности 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Количество штатных единиц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Заведующий отделением - врач -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детский эндокринолог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30 коек                   </w:t>
            </w:r>
          </w:p>
        </w:tc>
      </w:tr>
      <w:tr w:rsidR="00AE6346">
        <w:trPr>
          <w:trHeight w:val="6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 - детский эндокринолог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15 коек;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1  на  15  коек  для   дневного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стационара          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Врач-невролог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0,25 на 30 коек     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Врач-офтальмолог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0,25 на 30 коек     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Старшая медицинская сестра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30 коек        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15 коек                   </w:t>
            </w:r>
          </w:p>
        </w:tc>
      </w:tr>
      <w:tr w:rsidR="00AE6346">
        <w:trPr>
          <w:trHeight w:val="16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палатная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(постовая)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9,5 на 30 коек (для обеспечения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круглосуточной работы);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4,75 на 6 коек (для обеспечения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круглосуточной  работы)  палаты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(блока)      реанимации    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интенсивной терапии;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1  на  15  коек  для   дневного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стационара                     </w:t>
            </w:r>
          </w:p>
        </w:tc>
      </w:tr>
      <w:tr w:rsidR="00AE6346">
        <w:trPr>
          <w:trHeight w:val="16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Младшая медицинская сестра по уходу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 больным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9,5 на 30 коек (для обеспечения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круглосуточной работы);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4,75 на 6 коек (для обеспечения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круглосуточной  работы)  палаты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(блока)      реанимации    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интенсивной терапии;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1  на  15  коек  для   дневного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стационара          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Сестра-хозяйка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отделение      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Воспитатель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0,5 на 30 коек                 </w:t>
            </w:r>
          </w:p>
        </w:tc>
      </w:tr>
      <w:tr w:rsidR="00AE6346">
        <w:trPr>
          <w:trHeight w:val="8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Врач-анестезиолог-реаниматолог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4,75 на 6 коек (для обеспечения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круглосуточной  работы)  палаты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(блока)      реанимации    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интенсивной терапии            </w:t>
            </w:r>
          </w:p>
        </w:tc>
      </w:tr>
      <w:tr w:rsidR="00AE6346">
        <w:trPr>
          <w:trHeight w:val="6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Медицинская сестра-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анестезист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 на  6  коек  палаты  (блока)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реанимации    и     интенсивной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терапии                        </w:t>
            </w:r>
          </w:p>
        </w:tc>
      </w:tr>
      <w:tr w:rsidR="00AE6346">
        <w:trPr>
          <w:trHeight w:val="8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</w:t>
            </w: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на отделение (для обеспечения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работы буфетной);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4  на  отделение  (для   уборки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помещений)                     </w:t>
            </w:r>
          </w:p>
        </w:tc>
      </w:tr>
    </w:tbl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эндокринологического отделения не распространяются на медицинские организации частной системы здравоохранения.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медицинских организациях, имеющих в своем составе детское эндокринологическое отделение, рекомендуется предусматривать должность медицинского психолога из расчета 0,25 каждой должности на детское эндокринологическое отделение.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56"/>
      <w:bookmarkEnd w:id="5"/>
      <w:r>
        <w:rPr>
          <w:rFonts w:ascii="Calibri" w:hAnsi="Calibri" w:cs="Calibri"/>
        </w:rPr>
        <w:t>СТАНДАРТ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ДЕТСКОГО ЭНДОКРИНОЛОГИЧЕСКОГО ОТДЕЛЕНИЯ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эндокринологического отделения (за исключением палаты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(блока) реанимации и интенсивной терапии)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AE634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оборудования (оснащения)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шт.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Функциональная кровать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Функциональная  кроватка  для  детей   грудного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возраста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Кроватка  с   подогревом   или   матрасик   для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обогрева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Прикроватный столик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Тумба прикроватная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Прикроватная информационная  доска  (маркерная)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рабочий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6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рабочее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6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Кушетка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4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Кресло-каталка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4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Каталка для перевозки больных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Тележка грузовая межкорпусная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Каталка  для  перевозки  больных  с   подъемным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механизмом и съемными носилками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Сейф для хранения лекарственных средств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Передвижной    аппарат    для    ультразвуковых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исследований с набором датчиков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Мини-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доплер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3         </w:t>
            </w:r>
          </w:p>
        </w:tc>
      </w:tr>
      <w:tr w:rsidR="00AE6346">
        <w:trPr>
          <w:trHeight w:val="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глюкометру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из расчета 10 шт.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 1 ребенка с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сахарным диабетом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в день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суточного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мониторирования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гликемии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Бактерицидный облучатель воздуха, в  том 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переносной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Тонометр для измерения  артериального  давления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 манжетой для детей до года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врача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электронные для детей до 1 года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Ростометр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Сантиметровая лента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3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врача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Орхидометр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врача    </w:t>
            </w:r>
          </w:p>
        </w:tc>
      </w:tr>
      <w:tr w:rsidR="00AE6346">
        <w:trPr>
          <w:trHeight w:val="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Неврологический    набор    для     диагностики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диабетической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нейропатии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монофиламент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10  г,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градуированный    камертон,     неврологический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молоточек)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Калипер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Столик инструментальный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3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Бесконтактный тонометр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пробных очковых стекол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Экзоофтальмометр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37.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Проектор знаков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Щелевая лампа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Автокераторефрактометр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Автоматический компьютерный периметр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Прямой офтальмоскоп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Диодный лазер 532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нм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для  лазерной  коагуляции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сетчатки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Линза для лазерной коагуляции сетчатки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Компьютер с принтером и выходом в Интернет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Портативный   анализатор    газов    крови 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электролитов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Дозаторы для жидкого мыла, средств  дезинфекции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диспенсоры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для бумажных полотенец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Термометр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Штатив медицинский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инфузионная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стойка)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для сбора бытовых и медицинских отходов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 для   дезинфекции   инструментария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расходных материалов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</w:tbl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2. Стандарт оснащения палаты (блока)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реанимации и интенсивной терапии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эндокринологического отделения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880"/>
        <w:gridCol w:w="2520"/>
      </w:tblGrid>
      <w:tr w:rsidR="00AE634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оборудования (оснащения)   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шт.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Функциональная кровать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6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Функциональная  кроватка  для  детей   грудного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возраста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Кроватка с подогревом или матрасик для обогрева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Источник лучистого тепла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Прикроватный столик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Тумба прикроватная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Прикроватная информационная доска (маркерная)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rHeight w:val="8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 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Монитор  с   определением   температуры   тела,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частоты       дыхания,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пульсоксиметрией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электрокардиографией,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измерением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артериального давления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койку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Дефибриллятор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Вакуумный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электроотсос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искусственной вентиляции легких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койку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Мобильная реанимационная медицинская тележка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Портативный электрокардиограф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койку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2 на койку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Бактерицидный облучатель воздуха, в  том 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переносной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Тромбомиксер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Сейф     для     хранения     сильнодействующих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лекарственных средств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Тонометр для измерения артериального давления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манжетой для детей до года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Кислородная подводка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койку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25.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Инструментальный стол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26.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электронные для детей до 1 года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27.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28.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Дозаторы для жидкого мыла, средств  дезинфекции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диспенсоры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для бумажных полотенец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29.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Термометр       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числу коек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30.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1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31.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Штатив медицинский 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инфузионная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стойка)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32.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Ларингоскоп с клинками, в том числе детскими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33.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для сбора бытовых и медицинских отходов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2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34. </w:t>
            </w:r>
          </w:p>
        </w:tc>
        <w:tc>
          <w:tcPr>
            <w:tcW w:w="5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 для   дезинфекции   инструментария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расходных материалов                           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 требованию   </w:t>
            </w:r>
          </w:p>
        </w:tc>
      </w:tr>
    </w:tbl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7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КАБИНЕТА-ШКОЛЫ ДЛЯ БОЛЬНЫХ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САХАРНЫМ ДИАБЕТОМ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кабинета-школы для больных сахарным диабетом в организациях, оказывающих медицинскую помощь детям по профилю "детская эндокринология" (далее - медицинская организация).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Кабинет-школа для больных сахарным диабетом (далее - Школа) является структурным подразделением медицинской организации.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На должность врача - детского эндокринолога Школы назначается специалист, соответствующий требованиям, предъявляемым Квалификационными </w:t>
      </w:r>
      <w:hyperlink r:id="rId14" w:history="1">
        <w:r>
          <w:rPr>
            <w:rFonts w:ascii="Calibri" w:hAnsi="Calibri" w:cs="Calibri"/>
            <w:color w:val="0000FF"/>
          </w:rPr>
          <w:t>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эндокринология".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Школы устанавливается руководителем медицинской организации исходя из объема проводимой лечебно-диагностической работы, коечной мощности и численности детей на обслуживаемой территории с учетом рекомендуемых штатных нормативов, предусмотренных </w:t>
      </w:r>
      <w:hyperlink w:anchor="Par607" w:history="1">
        <w:r>
          <w:rPr>
            <w:rFonts w:ascii="Calibri" w:hAnsi="Calibri" w:cs="Calibri"/>
            <w:color w:val="0000FF"/>
          </w:rPr>
          <w:t>приложением N 8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Оснащение Школы осуществляется в соответствии со стандартом оснащения Школы, предусмотренным </w:t>
      </w:r>
      <w:hyperlink w:anchor="Par646" w:history="1">
        <w:r>
          <w:rPr>
            <w:rFonts w:ascii="Calibri" w:hAnsi="Calibri" w:cs="Calibri"/>
            <w:color w:val="0000FF"/>
          </w:rPr>
          <w:t>приложением N 9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эндокринология", утвержденному настоящим приказом.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Школа осуществляет следующие функции: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детям и их родителям (законным представителям);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технике введения лекарственных препаратов;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обучение проведению самоконтроля уровня глюкозы в крови;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детей и их родителей (законных представителей) навыкам </w:t>
      </w:r>
      <w:proofErr w:type="spellStart"/>
      <w:r>
        <w:rPr>
          <w:rFonts w:ascii="Calibri" w:hAnsi="Calibri" w:cs="Calibri"/>
        </w:rPr>
        <w:t>здоровьесберегающего</w:t>
      </w:r>
      <w:proofErr w:type="spellEnd"/>
      <w:r>
        <w:rPr>
          <w:rFonts w:ascii="Calibri" w:hAnsi="Calibri" w:cs="Calibri"/>
        </w:rPr>
        <w:t xml:space="preserve"> образа жизни, включая правильное питание.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0F4" w:rsidRDefault="002910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910F4" w:rsidRDefault="002910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_GoBack"/>
      <w:bookmarkEnd w:id="6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8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607"/>
      <w:bookmarkEnd w:id="7"/>
      <w:r>
        <w:rPr>
          <w:rFonts w:ascii="Calibri" w:hAnsi="Calibri" w:cs="Calibri"/>
        </w:rPr>
        <w:t>РЕКОМЕНДУЕМЫЕ ШТАТНЫЕ НОРМАТИВЫ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КАБИНЕТА-ШКОЛЫ ДЛЯ БОЛЬНЫХ САХАРНЫМ ДИАБЕТОМ &lt;*&gt;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кабинета-школы для больных сахарным диабетом не распространяются на медицинские организации частной системы здравоохранения.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200"/>
        <w:gridCol w:w="4200"/>
      </w:tblGrid>
      <w:tr w:rsidR="00AE6346">
        <w:trPr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должности     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Количество штатных единиц    </w:t>
            </w:r>
          </w:p>
        </w:tc>
      </w:tr>
      <w:tr w:rsidR="00AE6346">
        <w:trPr>
          <w:trHeight w:val="22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 - детский эндокринолог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Для оказания  медицинской  помощи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амбулаторных условиях: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0,5  на  100  и  менее  детей  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сахарным диабетом  прикрепленного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детского населения;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1 на более 100 детей  с  сахарным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диабетом прикрепленного  детского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населения.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Для оказания  медицинской  помощи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в  стационарных  условиях  1   на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отделение               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на  1  штатную  единицу  врач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детского эндокринолога           </w:t>
            </w:r>
          </w:p>
        </w:tc>
      </w:tr>
      <w:tr w:rsidR="00AE6346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 </w:t>
            </w:r>
          </w:p>
        </w:tc>
        <w:tc>
          <w:tcPr>
            <w:tcW w:w="4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0,3                              </w:t>
            </w:r>
          </w:p>
        </w:tc>
      </w:tr>
    </w:tbl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9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Порядку оказания </w:t>
      </w:r>
      <w:proofErr w:type="gramStart"/>
      <w:r>
        <w:rPr>
          <w:rFonts w:ascii="Calibri" w:hAnsi="Calibri" w:cs="Calibri"/>
        </w:rPr>
        <w:t>медицинской</w:t>
      </w:r>
      <w:proofErr w:type="gramEnd"/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помощи по профилю "детская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эндокринология",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12 ноября 2012 г. N 908н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8" w:name="Par646"/>
      <w:bookmarkEnd w:id="8"/>
      <w:r>
        <w:rPr>
          <w:rFonts w:ascii="Calibri" w:hAnsi="Calibri" w:cs="Calibri"/>
        </w:rPr>
        <w:t>СТАНДАРТ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ОСНАЩЕНИЯ КАБИНЕТА-ШКОЛЫ ДЛЯ БОЛЬНЫХ САХАРНЫМ ДИАБЕТОМ</w:t>
      </w: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5520"/>
        <w:gridCol w:w="3000"/>
      </w:tblGrid>
      <w:tr w:rsidR="00AE6346">
        <w:trPr>
          <w:trHeight w:val="40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оборудования (оснащения)  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Количество, шт.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12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5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рабочее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Доска маркерная (с набором маркеров)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Тумбочка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2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двухсекционный для одежды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размещения наглядных пособий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2     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Весы (для взвешивания продуктов в  интервале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10 - 100 г)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10.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Набор муляжей продуктов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по требованию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Компле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кт стр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уктурированных программ обучения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по требованию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Копировальный аппарат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Телевизор с DVD-плеером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Компьютер с принтером и выходом в Интернет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Мультимедийный проектор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1           </w:t>
            </w:r>
          </w:p>
        </w:tc>
      </w:tr>
      <w:tr w:rsidR="00AE6346">
        <w:trPr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для определения гликемии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на 1 пациента в день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для определения кетоновых тел 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моче                             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10 упаковок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по 50 в год      </w:t>
            </w:r>
          </w:p>
        </w:tc>
      </w:tr>
      <w:tr w:rsidR="00AE6346">
        <w:trPr>
          <w:trHeight w:val="400"/>
          <w:tblCellSpacing w:w="5" w:type="nil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Ланцет для взятия крови из пальца         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46" w:rsidRDefault="00AE63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100 упаковок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по 100 в год      </w:t>
            </w:r>
          </w:p>
        </w:tc>
      </w:tr>
    </w:tbl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E6346" w:rsidRDefault="00AE634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6151A" w:rsidRDefault="0026151A"/>
    <w:sectPr w:rsidR="0026151A" w:rsidSect="008B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346"/>
    <w:rsid w:val="00124CA1"/>
    <w:rsid w:val="0016070F"/>
    <w:rsid w:val="0026151A"/>
    <w:rsid w:val="002910F4"/>
    <w:rsid w:val="003A6EC6"/>
    <w:rsid w:val="00405C94"/>
    <w:rsid w:val="0041687D"/>
    <w:rsid w:val="004215B6"/>
    <w:rsid w:val="004A1C24"/>
    <w:rsid w:val="006A261C"/>
    <w:rsid w:val="006C338C"/>
    <w:rsid w:val="00A7430B"/>
    <w:rsid w:val="00AC0BB2"/>
    <w:rsid w:val="00AE6346"/>
    <w:rsid w:val="00BE7AD0"/>
    <w:rsid w:val="00C26BDF"/>
    <w:rsid w:val="00E412C1"/>
    <w:rsid w:val="00F65D44"/>
    <w:rsid w:val="00F6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E63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E63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E63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E63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007D85F8C8F7FA6B25B4A402AEF1C7D1300E8DB7415F5DDCA459583F1653E9532737E1EB636C1429L0L" TargetMode="External"/><Relationship Id="rId13" Type="http://schemas.openxmlformats.org/officeDocument/2006/relationships/hyperlink" Target="consultantplus://offline/ref=5B007D85F8C8F7FA6B25B4A402AEF1C7D1300383B64D5F5DDCA459583F1653E9532737E1EB636C1529L9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007D85F8C8F7FA6B25B4A402AEF1C7D5340987B2420257D4FD555A38190CFE546E3BE0EB636D21L7L" TargetMode="External"/><Relationship Id="rId12" Type="http://schemas.openxmlformats.org/officeDocument/2006/relationships/hyperlink" Target="consultantplus://offline/ref=5B007D85F8C8F7FA6B25B4A402AEF1C7D1300285BB495F5DDCA459583F21L6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007D85F8C8F7FA6B25B4A402AEF1C7D1320B82B34F5F5DDCA459583F1653E9532737E1EB636C1629L5L" TargetMode="External"/><Relationship Id="rId11" Type="http://schemas.openxmlformats.org/officeDocument/2006/relationships/hyperlink" Target="consultantplus://offline/ref=5B007D85F8C8F7FA6B25B4A402AEF1C7D1330E8CB04C5F5DDCA459583F1653E9532737E1EB636C1429L0L" TargetMode="External"/><Relationship Id="rId5" Type="http://schemas.openxmlformats.org/officeDocument/2006/relationships/hyperlink" Target="consultantplus://offline/ref=5B007D85F8C8F7FA6B25B4A402AEF1C7D1300C87B7495F5DDCA459583F21L6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B007D85F8C8F7FA6B25B4A402AEF1C7D1300383B64D5F5DDCA459583F1653E9532737E1EB636C1529L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007D85F8C8F7FA6B25B4A402AEF1C7D1330E8CB04C5F5DDCA459583F1653E9532737E1EB636C1429L0L" TargetMode="External"/><Relationship Id="rId14" Type="http://schemas.openxmlformats.org/officeDocument/2006/relationships/hyperlink" Target="consultantplus://offline/ref=5B007D85F8C8F7FA6B25B4A402AEF1C7D1300383B64D5F5DDCA459583F1653E9532737E1EB636C1529L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5728</Words>
  <Characters>32651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NaumovaYS</dc:creator>
  <cp:keywords/>
  <dc:description/>
  <cp:lastModifiedBy>NaumovaYS</cp:lastModifiedBy>
  <cp:revision>3</cp:revision>
  <dcterms:created xsi:type="dcterms:W3CDTF">2013-01-15T11:11:00Z</dcterms:created>
  <dcterms:modified xsi:type="dcterms:W3CDTF">2013-01-15T11:21:00Z</dcterms:modified>
</cp:coreProperties>
</file>